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9" w:rsidRDefault="00704DF9" w:rsidP="00BA2EA2">
      <w:pPr>
        <w:pStyle w:val="BodyText"/>
        <w:rPr>
          <w:lang w:val="it-IT"/>
        </w:rPr>
      </w:pPr>
    </w:p>
    <w:p w:rsidR="00704DF9" w:rsidRPr="00E66D88" w:rsidRDefault="00704DF9" w:rsidP="00E66D88">
      <w:pPr>
        <w:pStyle w:val="BodyText"/>
        <w:jc w:val="right"/>
        <w:rPr>
          <w:rFonts w:ascii="Times New Roman" w:hAnsi="Times New Roman"/>
          <w:b/>
          <w:sz w:val="22"/>
          <w:szCs w:val="22"/>
          <w:lang w:val="it-IT"/>
        </w:rPr>
      </w:pPr>
      <w:r w:rsidRPr="00E66D88">
        <w:rPr>
          <w:rFonts w:ascii="Times New Roman" w:hAnsi="Times New Roman"/>
          <w:b/>
          <w:sz w:val="22"/>
          <w:szCs w:val="22"/>
          <w:lang w:val="it-IT"/>
        </w:rPr>
        <w:t xml:space="preserve">MODELLO A </w:t>
      </w:r>
    </w:p>
    <w:p w:rsidR="00704DF9" w:rsidRPr="005D0564" w:rsidRDefault="00704DF9" w:rsidP="00BA2EA2">
      <w:pPr>
        <w:pStyle w:val="BodyText"/>
        <w:spacing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Al Dirigente scolastico</w:t>
      </w:r>
    </w:p>
    <w:p w:rsidR="00704DF9" w:rsidRPr="005D0564" w:rsidRDefault="00704DF9" w:rsidP="00BA2EA2">
      <w:pPr>
        <w:pStyle w:val="BodyText"/>
        <w:spacing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dell’I.C. </w:t>
      </w:r>
      <w:r>
        <w:rPr>
          <w:rFonts w:ascii="Times New Roman" w:hAnsi="Times New Roman"/>
          <w:sz w:val="22"/>
          <w:szCs w:val="22"/>
          <w:lang w:val="it-IT"/>
        </w:rPr>
        <w:t>N. BADALONI</w:t>
      </w:r>
      <w:r w:rsidRPr="005D0564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:rsidR="00704DF9" w:rsidRPr="005D0564" w:rsidRDefault="00704DF9" w:rsidP="00BA2EA2">
      <w:pPr>
        <w:pStyle w:val="BodyText"/>
        <w:spacing w:before="0" w:after="0"/>
        <w:jc w:val="right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RECANATI (MC)</w:t>
      </w:r>
    </w:p>
    <w:p w:rsidR="00704DF9" w:rsidRPr="005D0564" w:rsidRDefault="00704DF9" w:rsidP="00BA2EA2">
      <w:pPr>
        <w:pStyle w:val="BodyText"/>
        <w:spacing w:before="0" w:after="0"/>
        <w:jc w:val="right"/>
        <w:rPr>
          <w:rFonts w:ascii="Times New Roman" w:hAnsi="Times New Roman"/>
          <w:sz w:val="22"/>
          <w:szCs w:val="22"/>
          <w:lang w:val="it-IT"/>
        </w:rPr>
      </w:pP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b/>
          <w:sz w:val="22"/>
          <w:szCs w:val="22"/>
          <w:lang w:val="it-IT"/>
        </w:rPr>
        <w:t>Oggetto</w:t>
      </w:r>
      <w:r w:rsidRPr="005D0564">
        <w:rPr>
          <w:rFonts w:ascii="Times New Roman" w:hAnsi="Times New Roman"/>
          <w:sz w:val="22"/>
          <w:szCs w:val="22"/>
          <w:lang w:val="it-IT"/>
        </w:rPr>
        <w:t xml:space="preserve">: istanza di partecipazione alla selezione per il rinnovo della Convenzione di Cassa quadriennio 2020/2023. CIG: </w:t>
      </w:r>
      <w:r>
        <w:rPr>
          <w:rFonts w:ascii="Times New Roman" w:hAnsi="Times New Roman"/>
          <w:sz w:val="22"/>
          <w:szCs w:val="22"/>
          <w:lang w:val="it-IT"/>
        </w:rPr>
        <w:t>ZEF2A1F8B7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Il/la sottoscritto/a ____________________________________________________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nato/a_____________________________ il __________________ Prov: _______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Codice fiscale______________________________________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residente in __________________________________________ Prov. ______  CAP_______________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in via __________________________________________________________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in qualità di</w:t>
      </w:r>
    </w:p>
    <w:p w:rsidR="00704DF9" w:rsidRPr="005D0564" w:rsidRDefault="00704DF9" w:rsidP="00BA2EA2">
      <w:pPr>
        <w:pStyle w:val="BodyText"/>
        <w:numPr>
          <w:ilvl w:val="0"/>
          <w:numId w:val="1"/>
        </w:numPr>
        <w:rPr>
          <w:rFonts w:ascii="Times New Roman" w:hAnsi="Times New Roman"/>
          <w:b/>
          <w:sz w:val="22"/>
          <w:szCs w:val="22"/>
          <w:lang w:val="it-IT"/>
        </w:rPr>
      </w:pPr>
      <w:r w:rsidRPr="005D0564">
        <w:rPr>
          <w:rFonts w:ascii="Times New Roman" w:hAnsi="Times New Roman"/>
          <w:b/>
          <w:sz w:val="22"/>
          <w:szCs w:val="22"/>
          <w:lang w:val="it-IT"/>
        </w:rPr>
        <w:t>legale rappresentante</w:t>
      </w:r>
    </w:p>
    <w:p w:rsidR="00704DF9" w:rsidRPr="005D0564" w:rsidRDefault="00704DF9" w:rsidP="00BA2EA2">
      <w:pPr>
        <w:pStyle w:val="BodyText"/>
        <w:numPr>
          <w:ilvl w:val="0"/>
          <w:numId w:val="2"/>
        </w:numPr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b/>
          <w:sz w:val="22"/>
          <w:szCs w:val="22"/>
          <w:lang w:val="it-IT"/>
        </w:rPr>
        <w:t>procuratore del legale rappresentante</w:t>
      </w:r>
      <w:r w:rsidRPr="005D0564">
        <w:rPr>
          <w:rFonts w:ascii="Times New Roman" w:hAnsi="Times New Roman"/>
          <w:sz w:val="22"/>
          <w:szCs w:val="22"/>
          <w:lang w:val="it-IT"/>
        </w:rPr>
        <w:t xml:space="preserve"> (allegare copia della procura)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del concorrente (Azienda di Credito o Banca o Ente Poste) ________________________________________________ con sede in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_______________________________________ via_______________________________________,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N. ______ CAP _____________città _______________________________ codice fiscale/P.I.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 xml:space="preserve"> ________________________________________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in nome e per conto dello stesso</w:t>
      </w:r>
    </w:p>
    <w:p w:rsidR="00704DF9" w:rsidRPr="00FE6E3D" w:rsidRDefault="00704DF9" w:rsidP="00FE6E3D">
      <w:pPr>
        <w:ind w:left="142" w:right="632"/>
        <w:jc w:val="center"/>
        <w:rPr>
          <w:b/>
        </w:rPr>
      </w:pPr>
      <w:r w:rsidRPr="00FE6E3D">
        <w:rPr>
          <w:b/>
        </w:rPr>
        <w:t>chiede</w:t>
      </w:r>
    </w:p>
    <w:p w:rsidR="00704DF9" w:rsidRPr="00FE6E3D" w:rsidRDefault="00704DF9" w:rsidP="00FE6E3D">
      <w:pPr>
        <w:ind w:right="632"/>
        <w:jc w:val="both"/>
        <w:rPr>
          <w:rFonts w:ascii="Times New Roman" w:hAnsi="Times New Roman"/>
          <w:sz w:val="22"/>
          <w:szCs w:val="22"/>
          <w:lang w:val="it-IT"/>
        </w:rPr>
      </w:pPr>
      <w:r w:rsidRPr="00FE6E3D">
        <w:rPr>
          <w:rFonts w:ascii="Times New Roman" w:hAnsi="Times New Roman"/>
          <w:sz w:val="22"/>
          <w:szCs w:val="22"/>
          <w:lang w:val="it-IT"/>
        </w:rPr>
        <w:t xml:space="preserve">che l’Istituto di Credito sopraindicato venga ammesso a partecipare all’AVVISO PUBBLICO  PER LA STIPULA DI CONVENZIONE PER L’AFFIDAMENTO DEL SERVIZIO DI CASSA PER IL QUADRIENNIO DAL 01/01/2020 AL 31/12/2023 – PROT. N.7384/VI-3 - CIG.  N. ZEF2A1F8B7 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A tal fine dichiara ai sensi del DPR 445/2000 di essere in possesso dei requisiti di ordine soggettivo richiesti per la partecipazione alla procedura di affidamento di cui all’art. 80 del D.Igs 50/2016.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Allega la sotto elencata documentazione:</w:t>
      </w:r>
    </w:p>
    <w:p w:rsidR="00704DF9" w:rsidRPr="005D0564" w:rsidRDefault="00704DF9" w:rsidP="00BA2EA2">
      <w:pPr>
        <w:pStyle w:val="BodyText"/>
        <w:numPr>
          <w:ilvl w:val="0"/>
          <w:numId w:val="3"/>
        </w:numPr>
        <w:rPr>
          <w:rFonts w:ascii="Times New Roman" w:hAnsi="Times New Roman"/>
          <w:b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fotocopia documento di identità in corso di validità del titolare/legale rappresentante.</w:t>
      </w:r>
    </w:p>
    <w:p w:rsidR="00704DF9" w:rsidRPr="005D0564" w:rsidRDefault="00704DF9" w:rsidP="00BA2EA2">
      <w:pPr>
        <w:pStyle w:val="BodyText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b/>
          <w:sz w:val="22"/>
          <w:szCs w:val="22"/>
          <w:lang w:val="it-IT"/>
        </w:rPr>
        <w:t>data</w:t>
      </w:r>
      <w:r w:rsidRPr="005D0564">
        <w:rPr>
          <w:rFonts w:ascii="Times New Roman" w:hAnsi="Times New Roman"/>
          <w:sz w:val="22"/>
          <w:szCs w:val="22"/>
          <w:lang w:val="it-IT"/>
        </w:rPr>
        <w:t xml:space="preserve">________________________   </w:t>
      </w:r>
    </w:p>
    <w:p w:rsidR="00704DF9" w:rsidRPr="005D0564" w:rsidRDefault="00704DF9" w:rsidP="00BA2EA2">
      <w:pPr>
        <w:pStyle w:val="BodyText"/>
        <w:ind w:left="6480" w:firstLine="720"/>
        <w:rPr>
          <w:rFonts w:ascii="Times New Roman" w:hAnsi="Times New Roman"/>
          <w:b/>
          <w:sz w:val="22"/>
          <w:szCs w:val="22"/>
          <w:lang w:val="it-IT"/>
        </w:rPr>
      </w:pPr>
      <w:r w:rsidRPr="005D0564">
        <w:rPr>
          <w:rFonts w:ascii="Times New Roman" w:hAnsi="Times New Roman"/>
          <w:b/>
          <w:sz w:val="22"/>
          <w:szCs w:val="22"/>
          <w:lang w:val="it-IT"/>
        </w:rPr>
        <w:t xml:space="preserve">Timbro e firma  </w:t>
      </w:r>
    </w:p>
    <w:p w:rsidR="00704DF9" w:rsidRPr="005D0564" w:rsidRDefault="00704DF9" w:rsidP="00BA2EA2">
      <w:pPr>
        <w:pStyle w:val="BodyText"/>
        <w:ind w:left="6480" w:firstLine="720"/>
        <w:rPr>
          <w:rFonts w:ascii="Times New Roman" w:hAnsi="Times New Roman"/>
          <w:sz w:val="22"/>
          <w:szCs w:val="22"/>
          <w:lang w:val="it-IT"/>
        </w:rPr>
      </w:pPr>
    </w:p>
    <w:p w:rsidR="00704DF9" w:rsidRPr="005D0564" w:rsidRDefault="00704DF9" w:rsidP="00BA2EA2">
      <w:pPr>
        <w:pStyle w:val="BodyText"/>
        <w:ind w:left="5040" w:firstLine="720"/>
        <w:rPr>
          <w:rFonts w:ascii="Times New Roman" w:hAnsi="Times New Roman"/>
          <w:sz w:val="22"/>
          <w:szCs w:val="22"/>
          <w:lang w:val="it-IT"/>
        </w:rPr>
      </w:pPr>
      <w:r w:rsidRPr="005D0564">
        <w:rPr>
          <w:rFonts w:ascii="Times New Roman" w:hAnsi="Times New Roman"/>
          <w:sz w:val="22"/>
          <w:szCs w:val="22"/>
          <w:lang w:val="it-IT"/>
        </w:rPr>
        <w:t>__________________________________</w:t>
      </w:r>
    </w:p>
    <w:p w:rsidR="00704DF9" w:rsidRDefault="00704DF9" w:rsidP="00BA2EA2">
      <w:pPr>
        <w:pStyle w:val="BodyTex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Art. 80 del D. Lgs. 50/2016 aggiornato con le modifiche introdotte dal decreto sblocca cantieri (D.L. 32/2019) 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  <w:sectPr w:rsidR="00704DF9" w:rsidSect="005D0564">
          <w:footerReference w:type="default" r:id="rId7"/>
          <w:pgSz w:w="12240" w:h="15840"/>
          <w:pgMar w:top="993" w:right="1134" w:bottom="709" w:left="1134" w:header="142" w:footer="720" w:gutter="0"/>
          <w:cols w:space="720"/>
        </w:sectPr>
      </w:pP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1. Costituisce motivo di esclusione di un operatore economico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dalla partecipazione a una procedura d'appalto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concessione, la condanna con sentenza definitiva o decreto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penale di condanna divenuto irrevocabile o sentenza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applicazione della pena su richiesta ai sensi dell'articolo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444 del codice di procedura penale, </w:t>
      </w: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anche riferita a un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 xml:space="preserve">suo subappaltatore nei casi di cui all'articolo 105, comma 6,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per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uno dei seguenti reati: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a) delitti, consumati o tentati, di cui agli articoli 416, 416-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bis del codice penale ovvero delitti commessi avvalendosi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delle condizioni previste dal predetto articolo 416-bis ovvero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 fine di agevolare l'attività delle associazioni previste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dallo stesso articolo, nonché per i delitti, consumati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tentati, previsti dall'articolo 74 del decreto del Presidente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della Repubblica 9 ottobre 1990, n. 309, dall'articolo 291-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quater del decreto del Presidente della Repubblica 23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gennaio 1973, n. 43 e dall'articolo 260 del decreto legislativo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3 aprile 2006, n. </w:t>
      </w:r>
      <w:smartTag w:uri="urn:schemas-microsoft-com:office:smarttags" w:element="metricconverter">
        <w:smartTagPr>
          <w:attr w:name="ProductID" w:val="152, in"/>
        </w:smartTagPr>
        <w:r>
          <w:rPr>
            <w:rFonts w:ascii="Garamond" w:hAnsi="Garamond" w:cs="Garamond"/>
            <w:color w:val="000000"/>
            <w:sz w:val="20"/>
            <w:szCs w:val="20"/>
            <w:lang w:val="it-IT"/>
          </w:rPr>
          <w:t>152, in</w:t>
        </w:r>
      </w:smartTag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 quanto riconducibili alla partecipazione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 un'organizzazione criminale, quale definita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all'articolo 2 della decisione quadro 2008/841/GAI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Consiglio;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b) delitti, consumati o tentati, di cui agli articoli 317, 318,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319, 319-ter, 319-quater, 320, 321, 322, 322-bis, 346-bis,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353, 353-bis, 354, 355 e 356 del codice penale nonché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all'articolo 2635 del codice civile;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b-bis) false comunicazioni sociali di cui agli articoli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2621 e 2622 del codice civile;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c) frode ai sensi dell'articolo 1 della convenzione relativa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alla tutela degli interessi finanziari delle Comunità europee;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d)delitti, consumati o tentati, commessi con finalità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terrorismo, anche internazionale, e di eversione dell'ordine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costituzionale reati terroristici o reati connessi alle attività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terroristiche;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e) delitti di cui agli articoli 648-bis, 648-ter e 648-ter.1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codice penale, riciclaggio di proventi di attività criminose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o finanziamento del terrorismo, quali definiti all'articolo 1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 decreto legislativo 22 giugno 2007, n. 109 e successive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modificazioni;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f) sfruttamento del lavoro minorile e altre forme di tratta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esseri umani definite con il decreto legislativo 4 marzo</w:t>
      </w:r>
    </w:p>
    <w:p w:rsidR="00704DF9" w:rsidRDefault="00704DF9" w:rsidP="00BA2EA2">
      <w:pPr>
        <w:pStyle w:val="BodyText"/>
        <w:spacing w:before="0"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2014, n. 24;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g) ogni altro delitto da cui derivi, quale pena accessoria,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l'incapacità di contrattare con la pubblica amministrazione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2. Costituisce altresì motivo di esclusione la sussistenza,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 xml:space="preserve">con riferimento ai soggetti indicati al comma 3,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cause di decadenza, di sospensione o di divieto previste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dall'articolo 67 del decreto legislativo 6 settembre 2011,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n. 159 o di un tentativo di infiltrazione mafiosa di cui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all'articolo 84, comma 4, del medesimo decreto. Resta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fermo quanto previsto dagli articoli 88, comma 4-bis, 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92, commi 2 e 3, del decreto legislativo 6 settembre 2011,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n. 159, con riferimento rispettivamente alle comunicazioni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antimafia e alle informazioni antimafia. </w:t>
      </w: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Resta fermo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altresì quanto previsto dall'articolo 34-bis, commi 6 e 7, del decreto legislativo 6 settembre 2011, n. 159.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smartTag w:uri="urn:schemas-microsoft-com:office:smarttags" w:element="metricconverter">
        <w:smartTagPr>
          <w:attr w:name="ProductID" w:val="3. L"/>
        </w:smartTagPr>
        <w:r>
          <w:rPr>
            <w:rFonts w:ascii="Garamond" w:hAnsi="Garamond" w:cs="Garamond"/>
            <w:color w:val="000000"/>
            <w:sz w:val="20"/>
            <w:szCs w:val="20"/>
            <w:lang w:val="it-IT"/>
          </w:rPr>
          <w:t xml:space="preserve">3. </w:t>
        </w:r>
        <w:r>
          <w:rPr>
            <w:rFonts w:ascii="Garamond" w:hAnsi="Garamond" w:cs="Garamond"/>
            <w:color w:val="943634"/>
            <w:sz w:val="20"/>
            <w:szCs w:val="20"/>
            <w:lang w:val="it-IT"/>
          </w:rPr>
          <w:t>L</w:t>
        </w:r>
      </w:smartTag>
      <w:r>
        <w:rPr>
          <w:rFonts w:ascii="Garamond" w:hAnsi="Garamond" w:cs="Garamond"/>
          <w:color w:val="943634"/>
          <w:sz w:val="20"/>
          <w:szCs w:val="20"/>
          <w:lang w:val="it-IT"/>
        </w:rPr>
        <w:t xml:space="preserve">'esclusione di cui al comma 1 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L’esclusione di cui ai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 xml:space="preserve">commi 1 e 2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va disposta se la sentenza o il decreto 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ovvero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 xml:space="preserve">la misura interdittiva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sono stati emessi nei confronti: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 titolare o del direttore tecnico, se si tratta di impresa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individuale; di un socio o del direttore tecnico, se si tratta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società in nome collettivo; dei soci accomandatari o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direttore tecnico, se si tratta di società in accomandita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semplice; dei membri del consiglio di amministrazione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cui sia stata conferita la legale rappresentanza, 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ivi compresi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institori e procuratori generali, dei membri degli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 xml:space="preserve">organi con poteri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di direzione o di vigilanza o dei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soggetti muniti di poteri di rappresentanza, di direzione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controllo, del direttore tecnico o del socio unico persona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fisica, ovvero del socio di maggioranza </w:t>
      </w: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in caso di società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 xml:space="preserve">con meno di quattro soci </w:t>
      </w: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in caso di società con un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numero di soci pari o inferiore a quattro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, se si tratta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altro tipo di società o consorzio. In ogni caso l'esclusione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 il divieto operano anche nei confronti dei soggetti cessati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dalla carica nell'anno antecedente la data di pubblicazione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 bando di gara, qualora l'impresa non dimostri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che vi sia stata completa ed effettiva dissociazione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condotta penalmente sanzionata; l'esclusione non va disposta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 il divieto non si applica quando il reato è stato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depenalizzato ovvero quando è intervenuta la riabilitazione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ovvero, nei casi di condanna ad una pena accessoria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perpetua, quando questa è stata dichiarata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estinta ai sensi dell'articolo 179, settimo comma,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 xml:space="preserve">codice penale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ovvero quando il reato è stato dichiarato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estinto dopo la condanna ovvero in caso di revoca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condanna medesima.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4. </w:t>
      </w: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Un operatore economico è escluso dalla partecipazione a una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procedura d'appalto se ha commesso violazioni gravi, definitivamente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accertate, rispetto agli obblighi relativi al pagamento delle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imposte e tasse o dei contributi previdenziali, secondo la legislazione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 xml:space="preserve">italiana o quella dello Stato in cui sono stabiliti. </w:t>
      </w: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Un operatore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economico può essere escluso dalla partecipazione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 una procedura d'appalto se la stazione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appaltante è a conoscenza e può adeguatamente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dimostrare che lo stesso non ha ottemperato agli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obblighi relativi al pagamento delle imposte e tasse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o dei contributi previdenziali non definitivamente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accertati. Il presente comma non si applica quando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l'operatore economico ha ottemperato ai suoi obblighi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pagando o impegnandosi in modo vincolante 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pagare le imposte o i contributi previdenziali dovuti,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compresi eventuali interessi o multe, ovvero quando</w:t>
      </w:r>
    </w:p>
    <w:p w:rsidR="00704DF9" w:rsidRDefault="00704DF9" w:rsidP="00BA2EA2">
      <w:pPr>
        <w:pStyle w:val="BodyText"/>
        <w:spacing w:before="0"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 xml:space="preserve">il debito tributario o previdenziale sia comunque </w:t>
      </w:r>
    </w:p>
    <w:p w:rsidR="00704DF9" w:rsidRDefault="00704DF9" w:rsidP="00BA2EA2">
      <w:pPr>
        <w:pStyle w:val="BodyText"/>
        <w:spacing w:before="0"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integralmente estinto, purché l'estinzione, il pagamento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o l'impegno si siano perfezionati anteriormente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alla scadenza del termine per la presentazione delle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 xml:space="preserve">domande.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Costituiscono gravi violazioni quelle che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comportano un omesso pagamento di imposte e tasse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superiore all'importo di cui all'articolo 48-bis, commi 1 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2-bis del decreto del Presidente della Repubblica 29 settembre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1973, n. 602.Costituiscono violazioni definitivamente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accertate quelle contenute in sentenze o atti amministrativi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non più soggetti ad impugnazione. Costituiscono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gravi violazioni in materia contributiva e previdenziale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quelle ostative al rilascio del documento unico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regolarità contributiva (DURC), </w:t>
      </w:r>
      <w:r>
        <w:rPr>
          <w:rFonts w:ascii="Garamond" w:hAnsi="Garamond" w:cs="Garamond"/>
          <w:color w:val="943634"/>
          <w:sz w:val="20"/>
          <w:szCs w:val="20"/>
          <w:lang w:val="it-IT"/>
        </w:rPr>
        <w:t xml:space="preserve">di cui all'articolo 8 del 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 xml:space="preserve">cui al 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decreto del Ministero del lavoro e delle politiche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sociali 30 gennaio 2015, pubblicato sulla Gazzetta Ufficiale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n. 125 del 1° giugno 2015 </w:t>
      </w: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ovvero delle certificazioni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rilasciate dagli enti previdenziali di riferimento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non aderenti al sistema dello sportello unico previdenziale.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Il presente comma non si applica quando l'operatore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economico ha ottemperato ai suoi obblighi pagando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o impegnandosi in modo vincolante a pagare 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imposte o i contributi previdenziali dovuti, compresi eventuali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interessi o multe, purché il pagamento o l'impegno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siano stati formalizzati prima della scadenza del termine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per la presentazione delle domande.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5. Le stazioni appaltanti escludono dalla partecipazione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alla procedura d'appalto un operatore economico in una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 xml:space="preserve">delle seguenti situazioni, </w:t>
      </w: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anche riferita a un suo subappaltatore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nei casi di cui all'articolo 105, comma 6</w:t>
      </w:r>
      <w:r>
        <w:rPr>
          <w:rFonts w:ascii="Garamond" w:hAnsi="Garamond" w:cs="Garamond"/>
          <w:color w:val="000000"/>
          <w:sz w:val="20"/>
          <w:szCs w:val="20"/>
          <w:lang w:val="it-IT"/>
        </w:rPr>
        <w:t>, qualora: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a) la stazione appaltante possa dimostrare con qualunque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mezzo adeguato la presenza di gravi infrazioni debitamente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accertate alle norme in materia di salute e sicurezza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sul lavoro nonché agli obblighi di cui all'articolo 30,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comma 3 del presente codice;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b) l'operatore economico si trovi in stato di fallimento,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liquidazione coatta, di concordato preventivo, salvo il caso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concordato con continuità aziendale, o nei cui riguardi sia in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corso un procedimento per la dichiarazione di una di tali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situazioni, fermo restando quanto previsto dall'articolo 110;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b) l'operatore economico sia stato sottoposto 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fallimento o si trovi in stato di liquidazione coatta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di concordato preventivo o sia in corso nei suoi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confronti un procedimento per la dichiarazione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una di tali situazioni, fermo restando quanto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previsto dagli articoli 110 e 186-bis del regio decreto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16 marzo 1942, n. 267;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c) la stazione appaltante dimostri con mezzi adeguati che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l'operatore economico si è reso colpevole di gravi illeciti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professionali, tali da rendere dubbia la sua integrità o affidabilità.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Tra questi rientrano: le significative carenze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nell'esecuzione di un precedente contratto di appalto o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concessione che ne hanno causato la risoluzione anticipata,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non contestata in giudizio, ovvero confermata all'esito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di un giudizio, ovvero hanno dato luogo ad una condanna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al risarcimento del danno o ad altre sanzioni; il tentativo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di influenzare indebitamente il processo decisionale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della stazione appaltante o di ottenere informazioni riservate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ai fini di proprio vantaggio; il fornire, anche per negligenza,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informazioni false o fuorvianti suscettibili di influenzare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le decisioni sull'esclusione, la selezione o l'aggiudicazione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 xml:space="preserve">ovvero l'omettere le informazioni dovute ai fini del corretto 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FF0000"/>
          <w:sz w:val="20"/>
          <w:szCs w:val="20"/>
          <w:lang w:val="it-IT"/>
        </w:rPr>
      </w:pPr>
      <w:r>
        <w:rPr>
          <w:rFonts w:ascii="Garamond" w:hAnsi="Garamond" w:cs="Garamond"/>
          <w:color w:val="FF0000"/>
          <w:sz w:val="20"/>
          <w:szCs w:val="20"/>
          <w:lang w:val="it-IT"/>
        </w:rPr>
        <w:t>svolgimento della procedura di selezione;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Italic" w:hAnsi="Garamond,Italic" w:cs="Garamond,Italic"/>
          <w:i/>
          <w:iCs/>
          <w:color w:val="FF0000"/>
          <w:sz w:val="20"/>
          <w:szCs w:val="20"/>
          <w:lang w:val="it-IT"/>
        </w:rPr>
      </w:pPr>
      <w:r>
        <w:rPr>
          <w:rFonts w:ascii="Garamond,Italic" w:hAnsi="Garamond,Italic" w:cs="Garamond,Italic"/>
          <w:i/>
          <w:iCs/>
          <w:color w:val="FF0000"/>
          <w:sz w:val="20"/>
          <w:szCs w:val="20"/>
          <w:lang w:val="it-IT"/>
        </w:rPr>
        <w:t>([cancellato da DL 135/2018 – Decreto semplificazioni]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c) la stazione appaltante dimostri con mezzi adeguati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che l'operatore economico si e' reso colpevole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gravi illeciti professionali, tali da rendere dubbia 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sua integrità o affidabilità;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c-bis) l'operatore economico abbia tentato di influenzare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indebitamente il processo decisionale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stazione appaltante o di ottenere informazioni riservate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a fini di proprio vantaggio oppure abbia fornito,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anche per negligenza, informazioni false o fuorvianti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suscettibili di influenzare le decisioni sull'esclusione,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la selezione o l'aggiudicazione, ovvero abbia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omesso le informazioni dovute ai fini del corretto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svolgimento della procedura di selezione;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c-ter) l'operatore economico abbia dimostrato significative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o persistenti carenze nell'esecuzione di un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precedente contratto di appalto o di concessione che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ne hanno causato la risoluzione per inadempimento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ovvero la condanna al risarcimento del danno o altre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sanzioni comparabili; su tali circostanze la stazione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appaltante motiva anche con riferimento al tempo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trascorso dalla violazione e alla gravità della stessa;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1"/>
          <w:szCs w:val="21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1"/>
          <w:szCs w:val="21"/>
          <w:lang w:val="it-IT"/>
        </w:rPr>
        <w:t>[Introdotto da DL 135/2018 – Decreto semplificaizoni]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d) la partecipazione dell'operatore economico determini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una situazione di conflitto di interesse ai sensi dell'articolo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42, comma 2, non diversamente risolvibile;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e) una distorsione della concorrenza derivante dal precedente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coinvolgimento degli operatori economici nella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preparazione della procedura d'appalto di cui all'articolo67non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possa essere risolta con misure meno intrusive;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f) l'operatore economico sia stato soggetto alla sanzione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interdittiva di cui all'articolo 9, comma 2, lettera c)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decreto legislativo 8 giugno 2001, n. 231 o ad altra sanzione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che comporta il divieto di contrarre con la pubblica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amministrazione, compresi i provvedimenti interdittivi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cui all'articolo14 del decreto legislativo 9 aprile 2008, n.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81;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f-bis) l’operatore economico che presenti nella procedura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di gara in corso e negli affidamenti di subappalti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documentazione o dichiarazioni non veritiere;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f-ter) l’operatore economico iscritto nel casellario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informatico tenuto dall’Osservatorio dell’ANAC per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aver presentato false dichiarazioni o falsa documentazione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nelle procedure di gara e negli affidamenti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subappalti. Il motivo di esclusione perdura fino 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4F6228"/>
          <w:sz w:val="20"/>
          <w:szCs w:val="20"/>
          <w:lang w:val="it-IT"/>
        </w:rPr>
        <w:t>quando opera l'iscrizione nel casellario informatico;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g) l'operatore economico iscritto nel casellario informatico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tenuto dall'Osservatorio dell'ANAC per aver presentato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false dichiarazioni o falsa documentazione ai fini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rilascio dell'attestazione di qualificazione, per il periodo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durante il quale perdura l'iscrizione;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h) l'operatore economico abbia violato il divieto di intestazione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fiduciaria di cui all'articolo 17 della legge 19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marzo 1990, n. 55. L'esclusione ha durata di un anno decorrente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dall'accertamento definitivo della violazione e va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comunque disposta se la violazione non è stata rimossa;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i) l'operatore economico non presenti la certificazione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cui all'articolo 17 della legge 12 marzo 1999, n. 68, ovvero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non autocertifichi la sussistenza del medesimo requisito;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l) l'operatore economico che, pur essendo stato vittima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dei reati previsti e puniti dagli articoli 317 e629 del codice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penale aggravati ai sensi dell'articolo 7 del decreto-legge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13 maggio 1991, n. 152, convertito, con modificazioni,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dalla legge 12 luglio 1991, n. 203, non risulti aver denunciato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 fatti all'autorità giudiziaria, salvo che ricorrano 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casi previsti dall'articolo 4, primo comma, della legge 24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novembre 1981, n. 689. La circostanza di cui al primo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periodo deve emergere dagli indizi a base della richiesta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rinvio a giudizio formulata nei confronti dell'imputato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nell'anno antecedente alla pubblicazione del bando e deve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essere comunicata, unitamente alle generalità del soggetto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che ha omesso la predetta denuncia, dal procuratore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Repubblica procedente all'ANAC, la quale cura la pubblicazione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della comunicazione sul sito dell'Osservatorio;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m) l'operatore economico si trovi rispetto ad un altro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partecipante alla medesima procedura di affidamento, in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una situazione di controllo di cui all'articolo 2359 del codice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civile o in una qualsiasi relazione, anche di fatto, se 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situazione di controllo o la relazione comporti che le offerte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sono imputabili ad un unico centro decisionale.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6. Le stazioni appaltanti escludono un operatore economico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in qualunque momento della procedura, qualora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risulti che l'operatore economico si trova, a causa di atti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compiuti o omessi prima o nel corso della procedura, in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una delle situazioni di cui ai commi 1,2, 4 e 5.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7. Un operatore economico, o un subappaltatore, che si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trovi in una delle situazioni di cui al comma 1, limitatamente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alle ipotesi in cui la sentenza definitiva abbia imposto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una pena detentiva non superiore a 18 mesi ovvero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abbia riconosciuto l'attenuante della collaborazione come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definita per le singole fattispecie di reato, o al comma 5, è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ammesso a provare di aver risarcito o di essersi impegnato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 risarcire qualunque danno causato dal reato o dall'illecito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 di aver adottato provvedimenti concreti di carattere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tecnico, organizzativo e relativi al personale idonei 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prevenire ulteriori reati o illeciti.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8. Se la stazione appaltante ritiene che le misure di cui al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comma 7 sono sufficienti, l'operatore economico non è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escluso della procedura d'appalto; viceversa dell'esclusione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viene data motivata comunicazione all'operatore economico.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9. Un operatore economico escluso con sentenza definitiva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dalla partecipazione alle procedure di appalto non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può avvalersi della possibilità prevista dai commi 7 e 8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nel corso del periodo di esclusione derivante da tale sentenza.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10. Se la sentenza di condanna definitiva non fissa la durata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pena accessoria della incapacità di contrattare con la pubblica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amministrazione, ovvero non sia intervenuta riabilitazione, tale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durata è pari a cinque anni, salvo che la pena principale sia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durata inferiore, e in tale caso è pari alla durata della pena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principale e a tre anni, decorrenti dalla data del suo accertamento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definitivo, nei casi di cui ai commi 4 e 5 ove non sia intervenuta</w:t>
      </w:r>
    </w:p>
    <w:p w:rsidR="00704DF9" w:rsidRDefault="00704DF9" w:rsidP="00BA2EA2">
      <w:pPr>
        <w:pStyle w:val="BodyText"/>
        <w:spacing w:before="0" w:after="0"/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16"/>
          <w:szCs w:val="16"/>
          <w:lang w:val="it-IT"/>
        </w:rPr>
        <w:t>sentenza di condanna.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10. Se la sentenza penale di condanna definitiva non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fissa la durata della pena accessoria della incapacità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di contrattare con la pubblica amministrazione, 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durata della esclusione dalla procedura d'appalto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concessione è: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a) perpetua, nei casi in cui alla condanna consegue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di diritto la pena accessoria perpetua, ai sensi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dell'articolo 317-bis, primo comma, primo periodo,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del codice penale, salvo che la pena sia dichiarata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estinta ai sensi dell'articolo 179, settimo comma, del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codice penale;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b) pari a sette anni nei casi previsti dall'articolo 317-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bis, primo comma, secondo periodo, del codice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penale, salvo che sia intervenuta riabilitazione;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c) pari a cinque anni nei casi diversi da quelli di cui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alle lettere a) e b), salvo che sia intervenuta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riabilitazione.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10-bis. Nei casi di cui alle lettere b) e c) del comma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10, se la pena principale ha una durata inferiore,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rispettivamente, a sette e cinque anni di reclusione,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la durata della esclusione è pari alla durata della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pena principale. Nei casi di cui al comma 5, 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durata della esclusione è pari a tre anni, decorrenti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dalla data di adozione del provvedimento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amministrativo di esclusione ovvero, in caso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contestazione in giudizio, dalla data di passaggio in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giudicato della sentenza. Nel tempo occorrente alla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definizione del giudizio, la stazione appaltante deve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tenere conto di tale fatto ai fini della propria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valutazione circa la sussistenza del presupposto per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escludere dalla partecipazione alla procedura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</w:pPr>
      <w:r>
        <w:rPr>
          <w:rFonts w:ascii="Garamond,Bold" w:hAnsi="Garamond,Bold" w:cs="Garamond,Bold"/>
          <w:b/>
          <w:bCs/>
          <w:color w:val="1F497D"/>
          <w:sz w:val="20"/>
          <w:szCs w:val="20"/>
          <w:lang w:val="it-IT"/>
        </w:rPr>
        <w:t>l'operatore economico che l'abbia commesso.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11. Le cause di esclusione previste dal presente articolo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non si applicano alle aziende o società sottoposte a sequestro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o confisca ai sensi dell'articolo 12-sexies del decreto-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legge 8 giugno 1992, n. 306, convertito, con modificazioni,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dalla legge 7 agosto 1992, n. 356odegli articoli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20 e 24 del decreto legislativo 6 settembre 2011 n .159, ed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affidate ad un custode o amministratore giudiziario o finanziario,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limitatamente a quelle riferite al periodo precedente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 predetto affidamento.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12. In caso di presentazione di falsa dichiarazione o falsa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documentazione, nelle procedure di gara e negli affidamenti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di subappalto, la stazione appaltante ne dà segnalazione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all'Autorità che, se ritiene che siano state rese con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dolo o colpa grave in considerazione della rilevanza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della gravità dei fatti oggetto della falsa dichiarazione 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della presentazione di falsa documentazione, dispone l'iscrizione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nel casellario informatico ai fini dell'esclusione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dalle procedure di gara e dagli affidamenti di subappalto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ai sensi del comma 1 fino a due anni, decorso il quale l'iscrizione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è cancellata e perde comunque efficacia.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13. Con linee guida l'ANAC, da adottarsi entro novanta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giorni dalla data di entrata in vigore del presente codice,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può precisare, al fine di garantire omogeneità di prassi da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parte delle stazioni appaltanti, quali mezzi di prova considerare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adeguati per la dimostrazione delle circostanze di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esclusione di cui al comma 5, lettera c), ovvero quali carenze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nell'esecuzione di un procedente contratto di appalto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siano significative ai fini del medesimo comma 5,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lettera c).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14 . Non possono essere affidatari di subappalti e non</w:t>
      </w:r>
    </w:p>
    <w:p w:rsidR="00704DF9" w:rsidRDefault="00704DF9" w:rsidP="00BA2EA2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0"/>
          <w:szCs w:val="20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possono stipulare i relativi contratti i soggetti per i quali</w:t>
      </w:r>
    </w:p>
    <w:p w:rsidR="00704DF9" w:rsidRPr="00B323E0" w:rsidRDefault="00704DF9" w:rsidP="00BA2EA2">
      <w:pPr>
        <w:pStyle w:val="BodyText"/>
        <w:spacing w:before="0" w:after="0"/>
        <w:rPr>
          <w:rFonts w:ascii="Times New Roman" w:hAnsi="Times New Roman"/>
          <w:lang w:val="it-IT"/>
        </w:rPr>
      </w:pPr>
      <w:r>
        <w:rPr>
          <w:rFonts w:ascii="Garamond" w:hAnsi="Garamond" w:cs="Garamond"/>
          <w:color w:val="000000"/>
          <w:sz w:val="20"/>
          <w:szCs w:val="20"/>
          <w:lang w:val="it-IT"/>
        </w:rPr>
        <w:t>ricorrano i motivi di esclusione previsti dal presente articolo.</w:t>
      </w:r>
    </w:p>
    <w:p w:rsidR="00704DF9" w:rsidRPr="00BA2EA2" w:rsidRDefault="00704DF9">
      <w:pPr>
        <w:rPr>
          <w:lang w:val="it-IT"/>
        </w:rPr>
      </w:pPr>
      <w:bookmarkStart w:id="0" w:name="_GoBack"/>
      <w:bookmarkEnd w:id="0"/>
    </w:p>
    <w:sectPr w:rsidR="00704DF9" w:rsidRPr="00BA2EA2" w:rsidSect="00403F40">
      <w:type w:val="continuous"/>
      <w:pgSz w:w="12240" w:h="15840"/>
      <w:pgMar w:top="993" w:right="1134" w:bottom="709" w:left="1134" w:header="142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DF9" w:rsidRDefault="00704DF9" w:rsidP="001C7D14">
      <w:pPr>
        <w:spacing w:after="0"/>
      </w:pPr>
      <w:r>
        <w:separator/>
      </w:r>
    </w:p>
  </w:endnote>
  <w:endnote w:type="continuationSeparator" w:id="0">
    <w:p w:rsidR="00704DF9" w:rsidRDefault="00704DF9" w:rsidP="001C7D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F9" w:rsidRDefault="00704DF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04DF9" w:rsidRDefault="00704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DF9" w:rsidRDefault="00704DF9" w:rsidP="001C7D14">
      <w:pPr>
        <w:spacing w:after="0"/>
      </w:pPr>
      <w:r>
        <w:separator/>
      </w:r>
    </w:p>
  </w:footnote>
  <w:footnote w:type="continuationSeparator" w:id="0">
    <w:p w:rsidR="00704DF9" w:rsidRDefault="00704DF9" w:rsidP="001C7D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A17"/>
    <w:multiLevelType w:val="hybridMultilevel"/>
    <w:tmpl w:val="F0905C7E"/>
    <w:lvl w:ilvl="0" w:tplc="9D5A22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3D7F"/>
    <w:multiLevelType w:val="hybridMultilevel"/>
    <w:tmpl w:val="6E506324"/>
    <w:lvl w:ilvl="0" w:tplc="EA4269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02875"/>
    <w:multiLevelType w:val="hybridMultilevel"/>
    <w:tmpl w:val="B106E0EE"/>
    <w:lvl w:ilvl="0" w:tplc="754434B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EA2"/>
    <w:rsid w:val="001C7D14"/>
    <w:rsid w:val="002F69A0"/>
    <w:rsid w:val="00403F40"/>
    <w:rsid w:val="0045151B"/>
    <w:rsid w:val="004A51A2"/>
    <w:rsid w:val="00585263"/>
    <w:rsid w:val="005D0564"/>
    <w:rsid w:val="00704DF9"/>
    <w:rsid w:val="008137B4"/>
    <w:rsid w:val="00824A82"/>
    <w:rsid w:val="00836A16"/>
    <w:rsid w:val="0088213C"/>
    <w:rsid w:val="008C641C"/>
    <w:rsid w:val="00944856"/>
    <w:rsid w:val="00AC10E1"/>
    <w:rsid w:val="00B323E0"/>
    <w:rsid w:val="00BA2EA2"/>
    <w:rsid w:val="00E66D88"/>
    <w:rsid w:val="00F528FD"/>
    <w:rsid w:val="00F93E69"/>
    <w:rsid w:val="00FC4A22"/>
    <w:rsid w:val="00FE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EA2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2EA2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A2EA2"/>
    <w:rPr>
      <w:rFonts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A2EA2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EA2"/>
    <w:rPr>
      <w:rFonts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3026</Words>
  <Characters>17249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</dc:title>
  <dc:subject/>
  <dc:creator>Lidia Bitonti</dc:creator>
  <cp:keywords/>
  <dc:description/>
  <cp:lastModifiedBy>Utente</cp:lastModifiedBy>
  <cp:revision>3</cp:revision>
  <dcterms:created xsi:type="dcterms:W3CDTF">2019-11-11T17:13:00Z</dcterms:created>
  <dcterms:modified xsi:type="dcterms:W3CDTF">2019-11-12T09:07:00Z</dcterms:modified>
</cp:coreProperties>
</file>